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1352C" w:rsidRDefault="009547E7">
      <w:pPr>
        <w:tabs>
          <w:tab w:val="center" w:pos="4536"/>
          <w:tab w:val="right" w:pos="9639"/>
        </w:tabs>
        <w:spacing w:after="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w:t>
      </w:r>
      <w:r w:rsidR="0074701C" w:rsidRPr="0074701C">
        <w:rPr>
          <w:rFonts w:ascii="Arial" w:hAnsi="Arial" w:cs="Arial"/>
          <w:b/>
          <w:bCs/>
          <w:sz w:val="22"/>
          <w:szCs w:val="22"/>
        </w:rPr>
        <w:t>1907131</w:t>
      </w:r>
    </w:p>
    <w:p w:rsidR="00C1352C" w:rsidRDefault="009547E7">
      <w:pPr>
        <w:tabs>
          <w:tab w:val="center" w:pos="4536"/>
          <w:tab w:val="right" w:pos="9639"/>
        </w:tabs>
        <w:spacing w:after="0" w:line="240" w:lineRule="auto"/>
        <w:ind w:right="2"/>
        <w:rPr>
          <w:rFonts w:ascii="Arial" w:hAnsi="Arial" w:cs="Arial"/>
          <w:b/>
          <w:bCs/>
          <w:sz w:val="22"/>
          <w:szCs w:val="22"/>
        </w:rPr>
      </w:pPr>
      <w:r>
        <w:rPr>
          <w:rFonts w:ascii="Arial" w:hAnsi="Arial" w:cs="Arial" w:hint="eastAsia"/>
          <w:b/>
          <w:bCs/>
          <w:sz w:val="22"/>
          <w:szCs w:val="22"/>
        </w:rPr>
        <w:t xml:space="preserve">Reno, USA, May 13th </w:t>
      </w:r>
      <w:r>
        <w:rPr>
          <w:rFonts w:ascii="Arial" w:hAnsi="Arial" w:cs="Arial" w:hint="eastAsia"/>
          <w:b/>
          <w:bCs/>
          <w:sz w:val="22"/>
          <w:szCs w:val="22"/>
        </w:rPr>
        <w:t>–</w:t>
      </w:r>
      <w:r>
        <w:rPr>
          <w:rFonts w:ascii="Arial" w:hAnsi="Arial" w:cs="Arial" w:hint="eastAsia"/>
          <w:b/>
          <w:bCs/>
          <w:sz w:val="22"/>
          <w:szCs w:val="22"/>
        </w:rPr>
        <w:t xml:space="preserve"> 17th, 2019</w:t>
      </w:r>
    </w:p>
    <w:p w:rsidR="00C1352C" w:rsidRDefault="009547E7">
      <w:pPr>
        <w:tabs>
          <w:tab w:val="left" w:pos="1985"/>
        </w:tabs>
        <w:spacing w:beforeLines="100" w:before="240" w:after="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Uu controlling LTE sidelink</w:t>
      </w:r>
    </w:p>
    <w:p w:rsidR="00C1352C" w:rsidRDefault="009547E7">
      <w:pPr>
        <w:tabs>
          <w:tab w:val="left" w:pos="1985"/>
        </w:tabs>
        <w:spacing w:before="156" w:after="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C1352C" w:rsidRDefault="009547E7">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C1352C" w:rsidRDefault="009547E7">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1352C" w:rsidRDefault="009547E7">
      <w:pPr>
        <w:pStyle w:val="1"/>
        <w:spacing w:before="156"/>
        <w:ind w:left="0"/>
        <w:rPr>
          <w:rFonts w:eastAsia="宋体"/>
        </w:rPr>
      </w:pPr>
      <w:r>
        <w:rPr>
          <w:rFonts w:eastAsia="宋体" w:hint="eastAsia"/>
        </w:rPr>
        <w:t>Introduction</w:t>
      </w:r>
    </w:p>
    <w:p w:rsidR="00C1352C" w:rsidRDefault="009547E7">
      <w:pPr>
        <w:spacing w:before="120"/>
        <w:rPr>
          <w:sz w:val="20"/>
        </w:rPr>
      </w:pPr>
      <w:r>
        <w:rPr>
          <w:rFonts w:hint="eastAsia"/>
          <w:sz w:val="20"/>
        </w:rPr>
        <w:t>For the down-selection between DCI</w:t>
      </w:r>
      <w:r>
        <w:rPr>
          <w:sz w:val="20"/>
          <w:lang w:eastAsia="ko-KR"/>
        </w:rPr>
        <w:t>-based activation/deactivation</w:t>
      </w:r>
      <w:r>
        <w:rPr>
          <w:rFonts w:hint="eastAsia"/>
          <w:sz w:val="20"/>
        </w:rPr>
        <w:t xml:space="preserve"> and </w:t>
      </w:r>
      <w:r>
        <w:rPr>
          <w:sz w:val="20"/>
          <w:lang w:eastAsia="ko-KR"/>
        </w:rPr>
        <w:t>RRC-based activation/deactivation</w:t>
      </w:r>
      <w:r>
        <w:rPr>
          <w:rFonts w:hint="eastAsia"/>
          <w:sz w:val="20"/>
        </w:rPr>
        <w:t xml:space="preserve"> for NR Uu controlling mode 3, the following agreement is achieved in RAN1#96bis meeting[1].</w:t>
      </w:r>
    </w:p>
    <w:p w:rsidR="00C1352C" w:rsidRDefault="00C1352C">
      <w:pPr>
        <w:spacing w:before="120"/>
        <w:rPr>
          <w:sz w:val="20"/>
        </w:rPr>
      </w:pPr>
    </w:p>
    <w:tbl>
      <w:tblPr>
        <w:tblStyle w:val="ac"/>
        <w:tblW w:w="9571" w:type="dxa"/>
        <w:jc w:val="center"/>
        <w:tblLayout w:type="fixed"/>
        <w:tblLook w:val="04A0" w:firstRow="1" w:lastRow="0" w:firstColumn="1" w:lastColumn="0" w:noHBand="0" w:noVBand="1"/>
      </w:tblPr>
      <w:tblGrid>
        <w:gridCol w:w="9571"/>
      </w:tblGrid>
      <w:tr w:rsidR="00C1352C">
        <w:trPr>
          <w:jc w:val="center"/>
        </w:trPr>
        <w:tc>
          <w:tcPr>
            <w:tcW w:w="9571" w:type="dxa"/>
          </w:tcPr>
          <w:p w:rsidR="00C1352C" w:rsidRDefault="009547E7">
            <w:pPr>
              <w:ind w:left="1440" w:hanging="1440"/>
              <w:rPr>
                <w:highlight w:val="green"/>
              </w:rPr>
            </w:pPr>
            <w:r>
              <w:rPr>
                <w:highlight w:val="green"/>
              </w:rPr>
              <w:t>Agreements:</w:t>
            </w:r>
          </w:p>
          <w:p w:rsidR="00C1352C" w:rsidRDefault="009547E7">
            <w:pPr>
              <w:rPr>
                <w:sz w:val="20"/>
              </w:rPr>
            </w:pPr>
            <w:r>
              <w:rPr>
                <w:sz w:val="20"/>
              </w:rPr>
              <w:t>Regarding RRC-based versus DCI-based activation/release of LTE sidelink SPS, RAN1 agrees to make the choice on the basis of at least:</w:t>
            </w:r>
          </w:p>
          <w:p w:rsidR="00C1352C" w:rsidRDefault="009547E7">
            <w:pPr>
              <w:pStyle w:val="ad"/>
              <w:numPr>
                <w:ilvl w:val="0"/>
                <w:numId w:val="6"/>
              </w:numPr>
              <w:spacing w:after="120"/>
              <w:rPr>
                <w:sz w:val="20"/>
                <w:szCs w:val="20"/>
              </w:rPr>
            </w:pPr>
            <w:r>
              <w:rPr>
                <w:sz w:val="20"/>
                <w:szCs w:val="20"/>
              </w:rPr>
              <w:t>Spec impact</w:t>
            </w:r>
          </w:p>
          <w:p w:rsidR="00C1352C" w:rsidRDefault="009547E7">
            <w:pPr>
              <w:pStyle w:val="ad"/>
              <w:numPr>
                <w:ilvl w:val="0"/>
                <w:numId w:val="6"/>
              </w:numPr>
              <w:spacing w:after="120"/>
              <w:rPr>
                <w:sz w:val="20"/>
                <w:szCs w:val="20"/>
              </w:rPr>
            </w:pPr>
            <w:r>
              <w:rPr>
                <w:sz w:val="20"/>
                <w:szCs w:val="20"/>
              </w:rPr>
              <w:t>Flexibility</w:t>
            </w:r>
          </w:p>
          <w:p w:rsidR="00C1352C" w:rsidRDefault="009547E7">
            <w:pPr>
              <w:pStyle w:val="ad"/>
              <w:numPr>
                <w:ilvl w:val="0"/>
                <w:numId w:val="6"/>
              </w:numPr>
              <w:spacing w:after="120"/>
              <w:rPr>
                <w:sz w:val="20"/>
                <w:szCs w:val="20"/>
              </w:rPr>
            </w:pPr>
            <w:r>
              <w:rPr>
                <w:sz w:val="20"/>
                <w:szCs w:val="20"/>
              </w:rPr>
              <w:t>Performance, including latency</w:t>
            </w:r>
          </w:p>
          <w:p w:rsidR="00C1352C" w:rsidRDefault="009547E7">
            <w:pPr>
              <w:pStyle w:val="ad"/>
              <w:numPr>
                <w:ilvl w:val="0"/>
                <w:numId w:val="6"/>
              </w:numPr>
              <w:spacing w:after="120"/>
              <w:rPr>
                <w:sz w:val="20"/>
                <w:szCs w:val="20"/>
              </w:rPr>
            </w:pPr>
            <w:r>
              <w:rPr>
                <w:sz w:val="20"/>
                <w:szCs w:val="20"/>
              </w:rPr>
              <w:t>Implementation complexity</w:t>
            </w:r>
          </w:p>
          <w:p w:rsidR="00C1352C" w:rsidRDefault="009547E7">
            <w:pPr>
              <w:pStyle w:val="ad"/>
              <w:numPr>
                <w:ilvl w:val="0"/>
                <w:numId w:val="6"/>
              </w:numPr>
              <w:spacing w:after="120"/>
            </w:pPr>
            <w:r>
              <w:rPr>
                <w:sz w:val="20"/>
                <w:szCs w:val="20"/>
              </w:rPr>
              <w:t>Timing of the activation/deactivation</w:t>
            </w:r>
          </w:p>
        </w:tc>
      </w:tr>
    </w:tbl>
    <w:p w:rsidR="00C1352C" w:rsidRDefault="009547E7">
      <w:pPr>
        <w:snapToGrid w:val="0"/>
        <w:spacing w:before="240" w:afterLines="50" w:after="120"/>
        <w:rPr>
          <w:sz w:val="20"/>
        </w:rPr>
      </w:pPr>
      <w:r>
        <w:rPr>
          <w:rFonts w:hint="eastAsia"/>
          <w:sz w:val="20"/>
        </w:rPr>
        <w:t>In this contribution, we will further compare these two options.</w:t>
      </w:r>
    </w:p>
    <w:p w:rsidR="00C1352C" w:rsidRDefault="009547E7">
      <w:pPr>
        <w:pStyle w:val="1"/>
        <w:spacing w:before="156"/>
        <w:ind w:left="0"/>
      </w:pPr>
      <w:r>
        <w:rPr>
          <w:rFonts w:hint="eastAsia"/>
        </w:rPr>
        <w:t>Discussion</w:t>
      </w:r>
    </w:p>
    <w:p w:rsidR="00C1352C" w:rsidRDefault="009547E7">
      <w:pPr>
        <w:snapToGrid w:val="0"/>
        <w:spacing w:afterLines="50" w:after="120"/>
        <w:rPr>
          <w:sz w:val="20"/>
        </w:rPr>
      </w:pPr>
      <w:r>
        <w:rPr>
          <w:sz w:val="20"/>
        </w:rPr>
        <w:t xml:space="preserve">Before deciding </w:t>
      </w:r>
      <w:r>
        <w:rPr>
          <w:sz w:val="20"/>
          <w:lang w:eastAsia="ko-KR"/>
        </w:rPr>
        <w:t>which option is supported</w:t>
      </w:r>
      <w:r>
        <w:rPr>
          <w:sz w:val="20"/>
        </w:rPr>
        <w:t xml:space="preserve">, it is better to discuss the underlying principle we make this decision. From our point of view, the primary principle should be that the selected option should has less impact to the existing LTE specification.  From TS36.213, it can be seen that LTE mode 3 is based on </w:t>
      </w:r>
      <w:r>
        <w:rPr>
          <w:sz w:val="20"/>
          <w:lang w:eastAsia="ko-KR"/>
        </w:rPr>
        <w:t>RRC-configured SPS scheduling with</w:t>
      </w:r>
      <w:r>
        <w:rPr>
          <w:sz w:val="20"/>
        </w:rPr>
        <w:t xml:space="preserve"> DCI format 5A activation/deactivation. A mode 3 UE will determine the allocated resources and the other parameters for transmission from </w:t>
      </w:r>
      <w:r>
        <w:rPr>
          <w:sz w:val="20"/>
          <w:lang w:eastAsia="ko-KR"/>
        </w:rPr>
        <w:t>RRC-configured SPS</w:t>
      </w:r>
      <w:r>
        <w:rPr>
          <w:sz w:val="20"/>
        </w:rPr>
        <w:t xml:space="preserve"> grant and the contents of the DCI activated SPS grant. For NR Uu controlling LTE mode 3, some changes to the LTE specification will be needed to support the activation/deactivation of a grant through RRC if </w:t>
      </w:r>
      <w:r>
        <w:rPr>
          <w:sz w:val="20"/>
          <w:lang w:eastAsia="ko-KR"/>
        </w:rPr>
        <w:t>RRC-based activation/deactivation</w:t>
      </w:r>
      <w:r>
        <w:rPr>
          <w:sz w:val="20"/>
        </w:rPr>
        <w:t xml:space="preserve"> is supported. If this is still categorized as mode 3, then a RRC-to-format 5A conversion mechanism will be needed at the UE side. If this was defined as a new LTE sidelink mode (e.g., mode 5), then a lot of specification change will have to be introduced in LTE V2X, and that is not desired for a released specification. On the other hand, if DCI-based activation/deactivation is supported, only a DCI on NR Uu is needed to carry the contents of LTE DCI format 5A, and this approach has negligible impact on LTE mode 3.</w:t>
      </w:r>
    </w:p>
    <w:p w:rsidR="00C1352C" w:rsidRDefault="009547E7">
      <w:pPr>
        <w:pStyle w:val="YJ-Observation"/>
        <w:rPr>
          <w:lang w:val="en-US" w:eastAsia="zh-CN"/>
        </w:rPr>
      </w:pPr>
      <w:bookmarkStart w:id="1" w:name="_Toc4663"/>
      <w:bookmarkStart w:id="2" w:name="_Toc31776"/>
      <w:r>
        <w:rPr>
          <w:szCs w:val="22"/>
          <w:lang w:val="en-US" w:eastAsia="zh-CN"/>
        </w:rPr>
        <w:t xml:space="preserve">DCI-based activation/deactivation has less impact to LTE specification compare to RRC-based </w:t>
      </w:r>
      <w:r>
        <w:rPr>
          <w:lang w:val="en-US" w:eastAsia="ko-KR"/>
        </w:rPr>
        <w:t>activation/deactivation</w:t>
      </w:r>
      <w:r>
        <w:rPr>
          <w:lang w:val="en-US" w:eastAsia="zh-CN"/>
        </w:rPr>
        <w:t>.</w:t>
      </w:r>
      <w:bookmarkEnd w:id="1"/>
    </w:p>
    <w:bookmarkEnd w:id="2"/>
    <w:p w:rsidR="00C1352C" w:rsidRDefault="009547E7">
      <w:pPr>
        <w:snapToGrid w:val="0"/>
        <w:spacing w:before="120" w:afterLines="50" w:after="120"/>
        <w:rPr>
          <w:sz w:val="20"/>
        </w:rPr>
      </w:pPr>
      <w:r>
        <w:rPr>
          <w:sz w:val="20"/>
        </w:rPr>
        <w:t>If DCI-based activation/deactivation is supported, the design of the DCI format for NR controlling mode 3 can reuse the DCI format for NR Uu controlling mode 1, e.g., one approach could be that a common DCI format was designed for both NR sidelink mode 1 and NR controlling LTE sidelink mode 3 and with one bit in the DCI content to indicate which sidelink the DCI targets. This kind of approach has limited impact to the specification and can also minimize the effort of UE blind decoding. For the contents of the DCI for NR controlling mode 3, the contents of LTE DCI format 5A could be reused to save the normative effort.</w:t>
      </w:r>
    </w:p>
    <w:p w:rsidR="00C1352C" w:rsidRDefault="009547E7">
      <w:pPr>
        <w:pStyle w:val="YJ-Observation"/>
        <w:rPr>
          <w:szCs w:val="22"/>
          <w:lang w:val="en-US" w:eastAsia="zh-CN"/>
        </w:rPr>
      </w:pPr>
      <w:bookmarkStart w:id="3" w:name="_Toc3398"/>
      <w:r>
        <w:rPr>
          <w:szCs w:val="22"/>
          <w:lang w:val="en-US" w:eastAsia="zh-CN"/>
        </w:rPr>
        <w:lastRenderedPageBreak/>
        <w:t>DCI-based activation/deactivation doesn’t needs much effort in Rel-16.</w:t>
      </w:r>
      <w:bookmarkEnd w:id="3"/>
    </w:p>
    <w:bookmarkStart w:id="4" w:name="_Toc16612"/>
    <w:p w:rsidR="00C1352C" w:rsidRDefault="009547E7">
      <w:pPr>
        <w:pStyle w:val="sub-observation"/>
        <w:rPr>
          <w:lang w:val="en-US"/>
        </w:rPr>
      </w:pPr>
      <w:r>
        <w:rPr>
          <w:szCs w:val="22"/>
          <w:lang w:val="en-US" w:eastAsia="zh-CN"/>
        </w:rPr>
        <w:fldChar w:fldCharType="begin"/>
      </w:r>
      <w:r>
        <w:rPr>
          <w:szCs w:val="22"/>
          <w:lang w:val="en-US" w:eastAsia="zh-CN"/>
        </w:rPr>
        <w:instrText xml:space="preserve"> HYPERLINK \l _Toc11604 </w:instrText>
      </w:r>
      <w:r>
        <w:rPr>
          <w:szCs w:val="22"/>
          <w:lang w:val="en-US" w:eastAsia="zh-CN"/>
        </w:rPr>
        <w:fldChar w:fldCharType="separate"/>
      </w:r>
      <w:r>
        <w:rPr>
          <w:lang w:val="en-US" w:eastAsia="zh-CN"/>
        </w:rPr>
        <w:t>T</w:t>
      </w:r>
      <w:r>
        <w:rPr>
          <w:szCs w:val="22"/>
          <w:lang w:val="en-US" w:eastAsia="zh-CN"/>
        </w:rPr>
        <w:fldChar w:fldCharType="end"/>
      </w:r>
      <w:r>
        <w:rPr>
          <w:rFonts w:eastAsia="宋体"/>
          <w:lang w:val="en-US" w:eastAsia="zh-CN"/>
        </w:rPr>
        <w:t xml:space="preserve">he DCI format for NR controlling mode 3 could share a common DCI format with </w:t>
      </w:r>
      <w:r>
        <w:rPr>
          <w:lang w:val="en-US" w:eastAsia="zh-CN"/>
        </w:rPr>
        <w:t xml:space="preserve">NR Uu controlling </w:t>
      </w:r>
      <w:r>
        <w:rPr>
          <w:szCs w:val="22"/>
          <w:lang w:val="en-US" w:eastAsia="zh-CN"/>
        </w:rPr>
        <w:t xml:space="preserve">mode </w:t>
      </w:r>
      <w:r>
        <w:rPr>
          <w:lang w:val="en-US" w:eastAsia="zh-CN"/>
        </w:rPr>
        <w:t xml:space="preserve">1, this can </w:t>
      </w:r>
      <w:r>
        <w:rPr>
          <w:rFonts w:eastAsia="宋体"/>
          <w:lang w:val="en-US" w:eastAsia="zh-CN"/>
        </w:rPr>
        <w:t>minimize the effort of blind decoding and does not increase the implementation complexity of NR module</w:t>
      </w:r>
      <w:r>
        <w:rPr>
          <w:lang w:val="en-US" w:eastAsia="zh-CN"/>
        </w:rPr>
        <w:t>.</w:t>
      </w:r>
      <w:bookmarkEnd w:id="4"/>
    </w:p>
    <w:bookmarkStart w:id="5" w:name="_Toc3097"/>
    <w:p w:rsidR="00C1352C" w:rsidRDefault="009547E7">
      <w:pPr>
        <w:pStyle w:val="sub-observation"/>
      </w:pPr>
      <w:r>
        <w:rPr>
          <w:szCs w:val="22"/>
          <w:lang w:val="en-US" w:eastAsia="zh-CN"/>
        </w:rPr>
        <w:fldChar w:fldCharType="begin"/>
      </w:r>
      <w:r>
        <w:rPr>
          <w:szCs w:val="22"/>
          <w:lang w:val="en-US" w:eastAsia="zh-CN"/>
        </w:rPr>
        <w:instrText xml:space="preserve"> HYPERLINK \l _Toc20312 </w:instrText>
      </w:r>
      <w:r>
        <w:rPr>
          <w:szCs w:val="22"/>
          <w:lang w:val="en-US" w:eastAsia="zh-CN"/>
        </w:rPr>
        <w:fldChar w:fldCharType="separate"/>
      </w:r>
      <w:r>
        <w:rPr>
          <w:szCs w:val="22"/>
          <w:lang w:val="en-US" w:eastAsia="zh-CN"/>
        </w:rPr>
        <w:t>T</w:t>
      </w:r>
      <w:r>
        <w:rPr>
          <w:szCs w:val="22"/>
          <w:lang w:val="en-US" w:eastAsia="zh-CN"/>
        </w:rPr>
        <w:fldChar w:fldCharType="end"/>
      </w:r>
      <w:r>
        <w:rPr>
          <w:szCs w:val="22"/>
          <w:lang w:val="en-US" w:eastAsia="zh-CN"/>
        </w:rPr>
        <w:t xml:space="preserve">he </w:t>
      </w:r>
      <w:r>
        <w:rPr>
          <w:lang w:val="en-US" w:eastAsia="zh-CN"/>
        </w:rPr>
        <w:t xml:space="preserve">DCI for </w:t>
      </w:r>
      <w:r>
        <w:rPr>
          <w:rFonts w:eastAsia="宋体"/>
          <w:lang w:val="en-US" w:eastAsia="zh-CN"/>
        </w:rPr>
        <w:t>NR controlling mode 3</w:t>
      </w:r>
      <w:r>
        <w:rPr>
          <w:lang w:val="en-US" w:eastAsia="zh-CN"/>
        </w:rPr>
        <w:t xml:space="preserve"> could reuse the the contents of LTE DCI format 5A, and has </w:t>
      </w:r>
      <w:r>
        <w:rPr>
          <w:rFonts w:eastAsia="宋体"/>
          <w:lang w:val="en-US" w:eastAsia="zh-CN"/>
        </w:rPr>
        <w:t>negligible impact on LTE module.</w:t>
      </w:r>
      <w:bookmarkEnd w:id="5"/>
    </w:p>
    <w:p w:rsidR="00C1352C" w:rsidRDefault="009547E7">
      <w:pPr>
        <w:snapToGrid w:val="0"/>
        <w:spacing w:afterLines="50" w:after="120"/>
        <w:rPr>
          <w:sz w:val="20"/>
        </w:rPr>
      </w:pPr>
      <w:r>
        <w:rPr>
          <w:sz w:val="20"/>
        </w:rPr>
        <w:t>For DCI-based activation/deactivation, it could update some transmission parameters via DCI and this is more flexible than RRC re-configuration. For cross-RAT scheduling, the coordination latency between NR and LTE modules should be also considered. DCI-based activation/deactivation will reduce coordination latency between the NR and LTE modules, since the DCI for LTE mode 3 could be identified and forwarded between the lower layers (MAC/PHY) of the NR and LTE modules. As we discussed above, the DCI for mode 3 in NR Uu carries the same contents as DCI format 5A, and this will reduce the signalling conversion effort and further reduce the coordination latency between the NR and LTE modules.</w:t>
      </w:r>
    </w:p>
    <w:p w:rsidR="00C1352C" w:rsidRDefault="009547E7">
      <w:pPr>
        <w:pStyle w:val="YJ-Observation"/>
        <w:rPr>
          <w:lang w:val="en-US" w:eastAsia="zh-CN"/>
        </w:rPr>
      </w:pPr>
      <w:bookmarkStart w:id="6" w:name="_Toc7718"/>
      <w:bookmarkStart w:id="7" w:name="_Toc15095"/>
      <w:r>
        <w:rPr>
          <w:lang w:val="en-US" w:eastAsia="zh-CN"/>
        </w:rPr>
        <w:t xml:space="preserve">DCI-based activation/deactivation is more flexible and will reduce coordination latency between the NR and LTE modules compare to RRC-based </w:t>
      </w:r>
      <w:r>
        <w:rPr>
          <w:lang w:val="en-US" w:eastAsia="ko-KR"/>
        </w:rPr>
        <w:t>activation/deactivation</w:t>
      </w:r>
      <w:r>
        <w:rPr>
          <w:lang w:val="en-US" w:eastAsia="zh-CN"/>
        </w:rPr>
        <w:t>.</w:t>
      </w:r>
      <w:bookmarkEnd w:id="6"/>
      <w:bookmarkEnd w:id="7"/>
    </w:p>
    <w:p w:rsidR="00C1352C" w:rsidRDefault="009547E7">
      <w:pPr>
        <w:snapToGrid w:val="0"/>
        <w:spacing w:afterLines="50" w:after="120"/>
        <w:rPr>
          <w:sz w:val="20"/>
        </w:rPr>
      </w:pPr>
      <w:r>
        <w:rPr>
          <w:sz w:val="20"/>
        </w:rPr>
        <w:t>Basing on the analysis above, we propose that:</w:t>
      </w:r>
    </w:p>
    <w:p w:rsidR="00C1352C" w:rsidRDefault="009547E7">
      <w:pPr>
        <w:pStyle w:val="YJ-Proposal"/>
        <w:rPr>
          <w:rFonts w:eastAsia="宋体"/>
          <w:lang w:val="en-US" w:eastAsia="zh-CN"/>
        </w:rPr>
      </w:pPr>
      <w:bookmarkStart w:id="8" w:name="_Toc79"/>
      <w:bookmarkStart w:id="9" w:name="_Toc21886"/>
      <w:r>
        <w:rPr>
          <w:lang w:val="en-US" w:eastAsia="zh-CN"/>
        </w:rPr>
        <w:t>For NR Uu controlled LTE mode 3-like RRC-configured SPS scheduling, DCI-based activation/deactivation is supported.</w:t>
      </w:r>
      <w:bookmarkEnd w:id="8"/>
      <w:bookmarkEnd w:id="9"/>
    </w:p>
    <w:p w:rsidR="00C1352C" w:rsidRDefault="009547E7">
      <w:pPr>
        <w:snapToGrid w:val="0"/>
        <w:spacing w:afterLines="50" w:after="120"/>
        <w:rPr>
          <w:sz w:val="20"/>
        </w:rPr>
      </w:pPr>
      <w:r>
        <w:rPr>
          <w:sz w:val="20"/>
        </w:rPr>
        <w:t xml:space="preserve">As the numerology (or SCS) of NR Uu on which the DCI for LTE sidelink communication may be different with LTE sidelink carrier, the support of cross-carrier scheduling with different SCSs should be considered for NR UE and for the new DCI. When NR Uu schedules LTE sidelink mode 3, the details for the timing between DCI and SL transmission in LTE mode 3 should be further studied. In LTE V2X, a fixed timing between SL grant DCI and the first SPS transmission on sidelink is supported, i.e., the time gap should be no less than four subframes, this could be a starting-point for NR controlling mode 3 if DCI-based activation/deactivation is supported. </w:t>
      </w:r>
    </w:p>
    <w:p w:rsidR="00C1352C" w:rsidRDefault="009547E7">
      <w:pPr>
        <w:pStyle w:val="YJ-Proposal"/>
        <w:rPr>
          <w:rFonts w:eastAsia="宋体"/>
          <w:lang w:val="en-US" w:eastAsia="zh-CN"/>
        </w:rPr>
      </w:pPr>
      <w:bookmarkStart w:id="10" w:name="_Toc10840"/>
      <w:bookmarkStart w:id="11" w:name="_Toc30846"/>
      <w:r>
        <w:rPr>
          <w:lang w:val="en-US" w:eastAsia="zh-CN"/>
        </w:rPr>
        <w:t>The fixed timing between SL grant DCI and the SL transmission in LTE V2X should be the staring-point for NR controlling mode 3.</w:t>
      </w:r>
      <w:bookmarkEnd w:id="10"/>
      <w:bookmarkEnd w:id="11"/>
    </w:p>
    <w:p w:rsidR="00C1352C" w:rsidRDefault="00C1352C"/>
    <w:p w:rsidR="00C1352C" w:rsidRDefault="009547E7">
      <w:pPr>
        <w:pStyle w:val="1"/>
        <w:spacing w:before="156"/>
        <w:ind w:left="0"/>
        <w:rPr>
          <w:rFonts w:eastAsia="宋体"/>
        </w:rPr>
      </w:pPr>
      <w:r>
        <w:rPr>
          <w:rFonts w:eastAsia="宋体" w:hint="eastAsia"/>
        </w:rPr>
        <w:t>Conclusion</w:t>
      </w:r>
    </w:p>
    <w:p w:rsidR="00C1352C" w:rsidRDefault="009547E7">
      <w:pPr>
        <w:snapToGrid w:val="0"/>
        <w:spacing w:before="156"/>
        <w:rPr>
          <w:rFonts w:cs="Arial"/>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observations and proposals</w:t>
      </w:r>
      <w:r>
        <w:rPr>
          <w:rFonts w:cs="Arial" w:hint="eastAsia"/>
        </w:rPr>
        <w:t>.</w:t>
      </w:r>
    </w:p>
    <w:p w:rsidR="00C1352C" w:rsidRDefault="009547E7">
      <w:pPr>
        <w:pStyle w:val="10"/>
        <w:tabs>
          <w:tab w:val="right" w:leader="dot" w:pos="9660"/>
        </w:tabs>
      </w:pPr>
      <w:r>
        <w:rPr>
          <w:sz w:val="21"/>
          <w:szCs w:val="22"/>
        </w:rPr>
        <w:fldChar w:fldCharType="begin"/>
      </w:r>
      <w:r>
        <w:rPr>
          <w:sz w:val="21"/>
          <w:szCs w:val="22"/>
        </w:rPr>
        <w:instrText>TOC \n  \t "YJ-Observation,1,sub-observation,2" \h</w:instrText>
      </w:r>
      <w:r>
        <w:rPr>
          <w:sz w:val="21"/>
          <w:szCs w:val="22"/>
        </w:rPr>
        <w:fldChar w:fldCharType="separate"/>
      </w:r>
      <w:hyperlink w:anchor="_Toc4663" w:history="1">
        <w:r>
          <w:rPr>
            <w:rFonts w:eastAsia="宋体" w:cs="仿宋"/>
            <w:bCs/>
            <w:iCs/>
          </w:rPr>
          <w:t xml:space="preserve">Observation 1: </w:t>
        </w:r>
        <w:r>
          <w:rPr>
            <w:rFonts w:hint="eastAsia"/>
            <w:bCs/>
            <w:iCs/>
            <w:szCs w:val="22"/>
          </w:rPr>
          <w:t xml:space="preserve">DCI-based activation/deactivation has less impact to LTE specification compare to RRC-based </w:t>
        </w:r>
        <w:r>
          <w:rPr>
            <w:lang w:eastAsia="ko-KR"/>
          </w:rPr>
          <w:t>activation/deactivation</w:t>
        </w:r>
        <w:r>
          <w:rPr>
            <w:rFonts w:hint="eastAsia"/>
          </w:rPr>
          <w:t>.</w:t>
        </w:r>
      </w:hyperlink>
    </w:p>
    <w:p w:rsidR="00C1352C" w:rsidRDefault="00E476EC">
      <w:pPr>
        <w:pStyle w:val="10"/>
        <w:tabs>
          <w:tab w:val="right" w:leader="dot" w:pos="9660"/>
        </w:tabs>
      </w:pPr>
      <w:hyperlink w:anchor="_Toc3398" w:history="1">
        <w:r w:rsidR="009547E7">
          <w:rPr>
            <w:rFonts w:eastAsia="宋体" w:cs="仿宋"/>
            <w:bCs/>
            <w:iCs/>
            <w:szCs w:val="22"/>
          </w:rPr>
          <w:t xml:space="preserve">Observation 2: </w:t>
        </w:r>
        <w:r w:rsidR="009547E7">
          <w:rPr>
            <w:rFonts w:hint="eastAsia"/>
            <w:szCs w:val="22"/>
          </w:rPr>
          <w:t>DCI-based activation/deactivation doesn</w:t>
        </w:r>
        <w:r w:rsidR="009547E7">
          <w:rPr>
            <w:szCs w:val="22"/>
          </w:rPr>
          <w:t>’</w:t>
        </w:r>
        <w:r w:rsidR="009547E7">
          <w:rPr>
            <w:rFonts w:hint="eastAsia"/>
            <w:szCs w:val="22"/>
          </w:rPr>
          <w:t>t needs much effort in Rel-16.</w:t>
        </w:r>
      </w:hyperlink>
    </w:p>
    <w:p w:rsidR="00C1352C" w:rsidRDefault="00E476EC">
      <w:pPr>
        <w:pStyle w:val="20"/>
        <w:tabs>
          <w:tab w:val="right" w:leader="dot" w:pos="9660"/>
        </w:tabs>
      </w:pPr>
      <w:hyperlink w:anchor="_Toc16612" w:history="1">
        <w:r w:rsidR="009547E7">
          <w:rPr>
            <w:rFonts w:ascii="Arial" w:hAnsi="Arial" w:cs="Arial"/>
          </w:rPr>
          <w:t xml:space="preserve">• </w:t>
        </w:r>
        <w:r w:rsidR="009547E7">
          <w:rPr>
            <w:rFonts w:hint="eastAsia"/>
          </w:rPr>
          <w:t xml:space="preserve">The DCI format for NR controlling mode 3 could share a common DCI format with NR Uu controlling </w:t>
        </w:r>
        <w:r w:rsidR="009547E7">
          <w:rPr>
            <w:rFonts w:hint="eastAsia"/>
            <w:szCs w:val="22"/>
          </w:rPr>
          <w:t xml:space="preserve">mode </w:t>
        </w:r>
        <w:r w:rsidR="009547E7">
          <w:rPr>
            <w:rFonts w:hint="eastAsia"/>
          </w:rPr>
          <w:t xml:space="preserve">1, this can </w:t>
        </w:r>
        <w:r w:rsidR="009547E7">
          <w:t>minimize</w:t>
        </w:r>
        <w:r w:rsidR="009547E7">
          <w:rPr>
            <w:rFonts w:hint="eastAsia"/>
          </w:rPr>
          <w:t xml:space="preserve"> the effort of blind decoding and does not increase the implementation complexity of NR module.</w:t>
        </w:r>
      </w:hyperlink>
    </w:p>
    <w:p w:rsidR="00C1352C" w:rsidRDefault="00E476EC">
      <w:pPr>
        <w:pStyle w:val="20"/>
        <w:tabs>
          <w:tab w:val="right" w:leader="dot" w:pos="9660"/>
        </w:tabs>
      </w:pPr>
      <w:hyperlink w:anchor="_Toc3097" w:history="1">
        <w:r w:rsidR="009547E7">
          <w:rPr>
            <w:rFonts w:ascii="Arial" w:hAnsi="Arial" w:cs="Arial"/>
          </w:rPr>
          <w:t xml:space="preserve">• </w:t>
        </w:r>
        <w:r w:rsidR="009547E7">
          <w:rPr>
            <w:rFonts w:hint="eastAsia"/>
            <w:szCs w:val="22"/>
          </w:rPr>
          <w:t xml:space="preserve">The </w:t>
        </w:r>
        <w:r w:rsidR="009547E7">
          <w:rPr>
            <w:rFonts w:hint="eastAsia"/>
          </w:rPr>
          <w:t xml:space="preserve">DCI for NR controlling mode 3 could reuse the the contents of LTE DCI format 5A, and has </w:t>
        </w:r>
        <w:r w:rsidR="009547E7">
          <w:t>negligible</w:t>
        </w:r>
        <w:r w:rsidR="009547E7">
          <w:rPr>
            <w:rFonts w:hint="eastAsia"/>
          </w:rPr>
          <w:t xml:space="preserve"> impact on LTE module.</w:t>
        </w:r>
      </w:hyperlink>
    </w:p>
    <w:p w:rsidR="00C1352C" w:rsidRDefault="00E476EC">
      <w:pPr>
        <w:pStyle w:val="10"/>
        <w:tabs>
          <w:tab w:val="right" w:leader="dot" w:pos="9660"/>
        </w:tabs>
      </w:pPr>
      <w:hyperlink w:anchor="_Toc15095" w:history="1">
        <w:r w:rsidR="009547E7">
          <w:rPr>
            <w:rFonts w:eastAsia="宋体" w:cs="仿宋"/>
            <w:bCs/>
            <w:iCs/>
          </w:rPr>
          <w:t xml:space="preserve">Observation 3: </w:t>
        </w:r>
        <w:r w:rsidR="009547E7">
          <w:rPr>
            <w:rFonts w:hint="eastAsia"/>
          </w:rPr>
          <w:t xml:space="preserve">DCI-based activation/deactivation is more flexible and </w:t>
        </w:r>
        <w:r w:rsidR="009547E7">
          <w:t>will reduce</w:t>
        </w:r>
        <w:r w:rsidR="009547E7">
          <w:rPr>
            <w:rFonts w:hint="eastAsia"/>
          </w:rPr>
          <w:t xml:space="preserve"> coordination latency between the NR and LTE modules compare to RRC-based </w:t>
        </w:r>
        <w:r w:rsidR="009547E7">
          <w:rPr>
            <w:rFonts w:hint="eastAsia"/>
            <w:lang w:eastAsia="ko-KR"/>
          </w:rPr>
          <w:t>activation/deactivation</w:t>
        </w:r>
        <w:r w:rsidR="009547E7">
          <w:rPr>
            <w:rFonts w:hint="eastAsia"/>
          </w:rPr>
          <w:t>.</w:t>
        </w:r>
      </w:hyperlink>
    </w:p>
    <w:p w:rsidR="00C1352C" w:rsidRDefault="009547E7">
      <w:pPr>
        <w:spacing w:beforeLines="50" w:before="120" w:afterLines="50" w:after="120"/>
        <w:rPr>
          <w:szCs w:val="22"/>
        </w:rPr>
      </w:pPr>
      <w:r>
        <w:rPr>
          <w:szCs w:val="22"/>
        </w:rPr>
        <w:fldChar w:fldCharType="end"/>
      </w:r>
    </w:p>
    <w:p w:rsidR="00C1352C" w:rsidRDefault="00C1352C">
      <w:pPr>
        <w:spacing w:beforeLines="50" w:before="120" w:afterLines="50" w:after="120"/>
        <w:rPr>
          <w:szCs w:val="22"/>
        </w:rPr>
      </w:pPr>
    </w:p>
    <w:p w:rsidR="00C1352C" w:rsidRDefault="009547E7">
      <w:pPr>
        <w:pStyle w:val="10"/>
        <w:tabs>
          <w:tab w:val="right" w:leader="dot" w:pos="9660"/>
        </w:tabs>
      </w:pPr>
      <w:r>
        <w:fldChar w:fldCharType="begin"/>
      </w:r>
      <w:r>
        <w:instrText>TOC \n  \t "YJ-Proposal,1,sub-proposal,2" \h</w:instrText>
      </w:r>
      <w:r>
        <w:fldChar w:fldCharType="separate"/>
      </w:r>
      <w:hyperlink w:anchor="_Toc21886" w:history="1">
        <w:r>
          <w:rPr>
            <w:rFonts w:eastAsia="宋体"/>
            <w:bCs/>
            <w:iCs/>
          </w:rPr>
          <w:t xml:space="preserve">Proposal 1: </w:t>
        </w:r>
        <w:r>
          <w:rPr>
            <w:rFonts w:hint="eastAsia"/>
          </w:rPr>
          <w:t>For NR Uu controlled LTE mode 3-like RRC-configured SPS scheduling, DCI-based activation/deactivation is supported.</w:t>
        </w:r>
      </w:hyperlink>
    </w:p>
    <w:p w:rsidR="00C1352C" w:rsidRDefault="00E476EC">
      <w:pPr>
        <w:pStyle w:val="10"/>
        <w:tabs>
          <w:tab w:val="right" w:leader="dot" w:pos="9660"/>
        </w:tabs>
      </w:pPr>
      <w:hyperlink w:anchor="_Toc30846" w:history="1">
        <w:r w:rsidR="009547E7">
          <w:rPr>
            <w:rFonts w:eastAsia="宋体"/>
            <w:bCs/>
            <w:iCs/>
          </w:rPr>
          <w:t xml:space="preserve">Proposal 2: </w:t>
        </w:r>
        <w:r w:rsidR="009547E7">
          <w:rPr>
            <w:rFonts w:hint="eastAsia"/>
          </w:rPr>
          <w:t xml:space="preserve">The fixed timing </w:t>
        </w:r>
        <w:r w:rsidR="009547E7">
          <w:t xml:space="preserve">between SL grant DCI and the </w:t>
        </w:r>
        <w:r w:rsidR="009547E7">
          <w:rPr>
            <w:rFonts w:hint="eastAsia"/>
          </w:rPr>
          <w:t>SL</w:t>
        </w:r>
        <w:r w:rsidR="009547E7">
          <w:t xml:space="preserve"> transmission</w:t>
        </w:r>
        <w:r w:rsidR="009547E7">
          <w:rPr>
            <w:rFonts w:hint="eastAsia"/>
          </w:rPr>
          <w:t xml:space="preserve"> in LTE V2X should be the staring-point for NR controlling mode 3.</w:t>
        </w:r>
      </w:hyperlink>
    </w:p>
    <w:p w:rsidR="00C1352C" w:rsidRDefault="009547E7">
      <w:pPr>
        <w:snapToGrid w:val="0"/>
        <w:spacing w:before="156"/>
      </w:pPr>
      <w:r>
        <w:fldChar w:fldCharType="end"/>
      </w:r>
    </w:p>
    <w:p w:rsidR="00C1352C" w:rsidRDefault="009547E7">
      <w:pPr>
        <w:pStyle w:val="1"/>
        <w:spacing w:before="156"/>
        <w:ind w:left="0"/>
        <w:rPr>
          <w:rFonts w:eastAsia="宋体"/>
        </w:rPr>
      </w:pPr>
      <w:r>
        <w:rPr>
          <w:rFonts w:eastAsia="宋体" w:hint="eastAsia"/>
        </w:rPr>
        <w:t>Reference</w:t>
      </w:r>
      <w:r>
        <w:rPr>
          <w:rFonts w:eastAsia="宋体"/>
        </w:rPr>
        <w:t>s</w:t>
      </w:r>
    </w:p>
    <w:p w:rsidR="00C1352C" w:rsidRDefault="009547E7">
      <w:pPr>
        <w:widowControl w:val="0"/>
        <w:numPr>
          <w:ilvl w:val="0"/>
          <w:numId w:val="7"/>
        </w:numPr>
        <w:snapToGrid w:val="0"/>
        <w:spacing w:after="0"/>
        <w:rPr>
          <w:lang w:eastAsia="ja-JP"/>
        </w:rPr>
      </w:pPr>
      <w:bookmarkStart w:id="12" w:name="_Ref10683"/>
      <w:bookmarkStart w:id="13" w:name="_Ref17466"/>
      <w:r>
        <w:rPr>
          <w:sz w:val="20"/>
          <w:lang w:eastAsia="ja-JP"/>
        </w:rPr>
        <w:t xml:space="preserve">Chairman's Notes RAN1 </w:t>
      </w:r>
      <w:r>
        <w:rPr>
          <w:sz w:val="20"/>
        </w:rPr>
        <w:t xml:space="preserve">#96bis, April 8th </w:t>
      </w:r>
      <w:r>
        <w:rPr>
          <w:sz w:val="20"/>
          <w:lang w:eastAsia="ja-JP"/>
        </w:rPr>
        <w:t>-</w:t>
      </w:r>
      <w:r>
        <w:rPr>
          <w:sz w:val="20"/>
        </w:rPr>
        <w:t>12</w:t>
      </w:r>
      <w:r>
        <w:rPr>
          <w:sz w:val="20"/>
          <w:lang w:eastAsia="ja-JP"/>
        </w:rPr>
        <w:t>th, 20</w:t>
      </w:r>
      <w:r>
        <w:rPr>
          <w:sz w:val="20"/>
        </w:rPr>
        <w:t>19</w:t>
      </w:r>
      <w:bookmarkEnd w:id="12"/>
      <w:bookmarkEnd w:id="13"/>
    </w:p>
    <w:p w:rsidR="00C1352C" w:rsidRDefault="00C1352C">
      <w:pPr>
        <w:jc w:val="left"/>
      </w:pPr>
    </w:p>
    <w:sectPr w:rsidR="00C1352C">
      <w:footerReference w:type="default" r:id="rId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6EC" w:rsidRDefault="00E476EC">
      <w:pPr>
        <w:spacing w:after="0" w:line="240" w:lineRule="auto"/>
      </w:pPr>
      <w:r>
        <w:separator/>
      </w:r>
    </w:p>
  </w:endnote>
  <w:endnote w:type="continuationSeparator" w:id="0">
    <w:p w:rsidR="00E476EC" w:rsidRDefault="00E47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52C" w:rsidRDefault="009547E7">
    <w:pPr>
      <w:pStyle w:val="a8"/>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1352C" w:rsidRDefault="009547E7">
                          <w:pPr>
                            <w:pStyle w:val="a8"/>
                          </w:pPr>
                          <w:r>
                            <w:rPr>
                              <w:rFonts w:hint="eastAsia"/>
                            </w:rPr>
                            <w:fldChar w:fldCharType="begin"/>
                          </w:r>
                          <w:r>
                            <w:rPr>
                              <w:rFonts w:hint="eastAsia"/>
                            </w:rPr>
                            <w:instrText xml:space="preserve"> PAGE  \* MERGEFORMAT </w:instrText>
                          </w:r>
                          <w:r>
                            <w:rPr>
                              <w:rFonts w:hint="eastAsia"/>
                            </w:rPr>
                            <w:fldChar w:fldCharType="separate"/>
                          </w:r>
                          <w:r w:rsidR="00C2504F">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1352C" w:rsidRDefault="009547E7">
                    <w:pPr>
                      <w:pStyle w:val="a8"/>
                    </w:pPr>
                    <w:r>
                      <w:rPr>
                        <w:rFonts w:hint="eastAsia"/>
                      </w:rPr>
                      <w:fldChar w:fldCharType="begin"/>
                    </w:r>
                    <w:r>
                      <w:rPr>
                        <w:rFonts w:hint="eastAsia"/>
                      </w:rPr>
                      <w:instrText xml:space="preserve"> PAGE  \* MERGEFORMAT </w:instrText>
                    </w:r>
                    <w:r>
                      <w:rPr>
                        <w:rFonts w:hint="eastAsia"/>
                      </w:rPr>
                      <w:fldChar w:fldCharType="separate"/>
                    </w:r>
                    <w:r w:rsidR="00C2504F">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6EC" w:rsidRDefault="00E476EC">
      <w:pPr>
        <w:spacing w:after="0" w:line="240" w:lineRule="auto"/>
      </w:pPr>
      <w:r>
        <w:separator/>
      </w:r>
    </w:p>
  </w:footnote>
  <w:footnote w:type="continuationSeparator" w:id="0">
    <w:p w:rsidR="00E476EC" w:rsidRDefault="00E476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924619"/>
    <w:multiLevelType w:val="singleLevel"/>
    <w:tmpl w:val="9F924619"/>
    <w:lvl w:ilvl="0">
      <w:start w:val="1"/>
      <w:numFmt w:val="decimal"/>
      <w:pStyle w:val="YJ-Observation"/>
      <w:lvlText w:val="Observation %1: "/>
      <w:lvlJc w:val="left"/>
      <w:pPr>
        <w:tabs>
          <w:tab w:val="left" w:pos="0"/>
        </w:tabs>
        <w:ind w:left="0" w:firstLine="0"/>
      </w:pPr>
      <w:rPr>
        <w:rFonts w:ascii="Times New Roman" w:eastAsia="宋体" w:hAnsi="Times New Roman" w:cs="仿宋" w:hint="default"/>
        <w:b/>
        <w:bCs/>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F8D"/>
    <w:rsid w:val="000E3435"/>
    <w:rsid w:val="00172A27"/>
    <w:rsid w:val="002500C8"/>
    <w:rsid w:val="002925E1"/>
    <w:rsid w:val="003B0BAD"/>
    <w:rsid w:val="0043111B"/>
    <w:rsid w:val="0074701C"/>
    <w:rsid w:val="00814195"/>
    <w:rsid w:val="008B75FF"/>
    <w:rsid w:val="009547E7"/>
    <w:rsid w:val="00C1352C"/>
    <w:rsid w:val="00C2504F"/>
    <w:rsid w:val="00C5282A"/>
    <w:rsid w:val="00C870F1"/>
    <w:rsid w:val="00E412CC"/>
    <w:rsid w:val="00E476EC"/>
    <w:rsid w:val="01A14912"/>
    <w:rsid w:val="01C3693D"/>
    <w:rsid w:val="024D6B6A"/>
    <w:rsid w:val="029B04E7"/>
    <w:rsid w:val="02BF5E55"/>
    <w:rsid w:val="02E50E68"/>
    <w:rsid w:val="04860CF4"/>
    <w:rsid w:val="04DC566A"/>
    <w:rsid w:val="04FF4F02"/>
    <w:rsid w:val="05973EB6"/>
    <w:rsid w:val="05E078B3"/>
    <w:rsid w:val="086550E5"/>
    <w:rsid w:val="08965993"/>
    <w:rsid w:val="0A79689F"/>
    <w:rsid w:val="0B7C2849"/>
    <w:rsid w:val="0B9E71DF"/>
    <w:rsid w:val="0BD836E0"/>
    <w:rsid w:val="0BF93B6F"/>
    <w:rsid w:val="0D725FFB"/>
    <w:rsid w:val="0DB613B5"/>
    <w:rsid w:val="0E694BE8"/>
    <w:rsid w:val="0EE75BBD"/>
    <w:rsid w:val="10043215"/>
    <w:rsid w:val="10071099"/>
    <w:rsid w:val="109925AB"/>
    <w:rsid w:val="12630961"/>
    <w:rsid w:val="126F0EE4"/>
    <w:rsid w:val="131E5B1C"/>
    <w:rsid w:val="1387525F"/>
    <w:rsid w:val="14806CB9"/>
    <w:rsid w:val="14DA3DA1"/>
    <w:rsid w:val="15BD6039"/>
    <w:rsid w:val="16832EC2"/>
    <w:rsid w:val="16A313E7"/>
    <w:rsid w:val="172251C7"/>
    <w:rsid w:val="17666C2F"/>
    <w:rsid w:val="1812345F"/>
    <w:rsid w:val="18657668"/>
    <w:rsid w:val="18E46636"/>
    <w:rsid w:val="1A054259"/>
    <w:rsid w:val="1B406870"/>
    <w:rsid w:val="1B7C6B15"/>
    <w:rsid w:val="1B8E1D16"/>
    <w:rsid w:val="1C132CB9"/>
    <w:rsid w:val="1CF942F8"/>
    <w:rsid w:val="1D3D572C"/>
    <w:rsid w:val="1E9D6342"/>
    <w:rsid w:val="1F6F78DE"/>
    <w:rsid w:val="1FC26B53"/>
    <w:rsid w:val="201F2593"/>
    <w:rsid w:val="20A70E10"/>
    <w:rsid w:val="210701B1"/>
    <w:rsid w:val="231C6E5A"/>
    <w:rsid w:val="23426B76"/>
    <w:rsid w:val="238D760D"/>
    <w:rsid w:val="23C3043C"/>
    <w:rsid w:val="25134332"/>
    <w:rsid w:val="26A972F1"/>
    <w:rsid w:val="27732D78"/>
    <w:rsid w:val="27A303C7"/>
    <w:rsid w:val="29FA7F26"/>
    <w:rsid w:val="2A466C91"/>
    <w:rsid w:val="2A8D2D27"/>
    <w:rsid w:val="2C30087B"/>
    <w:rsid w:val="2D2323AA"/>
    <w:rsid w:val="2E325309"/>
    <w:rsid w:val="2F9F222D"/>
    <w:rsid w:val="30962F3E"/>
    <w:rsid w:val="35DB7C02"/>
    <w:rsid w:val="361F3323"/>
    <w:rsid w:val="36BF601B"/>
    <w:rsid w:val="37453E5F"/>
    <w:rsid w:val="3784394E"/>
    <w:rsid w:val="37944361"/>
    <w:rsid w:val="38203E6D"/>
    <w:rsid w:val="397D183D"/>
    <w:rsid w:val="39A601D7"/>
    <w:rsid w:val="3A9D206F"/>
    <w:rsid w:val="3ACB5746"/>
    <w:rsid w:val="3AE77621"/>
    <w:rsid w:val="3B3A6B4A"/>
    <w:rsid w:val="3BB53C68"/>
    <w:rsid w:val="3FC956FF"/>
    <w:rsid w:val="41F17107"/>
    <w:rsid w:val="41F466FD"/>
    <w:rsid w:val="433352DE"/>
    <w:rsid w:val="440D5045"/>
    <w:rsid w:val="44B834DB"/>
    <w:rsid w:val="460C5979"/>
    <w:rsid w:val="46B03643"/>
    <w:rsid w:val="47793C0E"/>
    <w:rsid w:val="47C01792"/>
    <w:rsid w:val="47D85B4C"/>
    <w:rsid w:val="48F530EF"/>
    <w:rsid w:val="49306DD9"/>
    <w:rsid w:val="4A0C5638"/>
    <w:rsid w:val="4A5D12EB"/>
    <w:rsid w:val="4AC31003"/>
    <w:rsid w:val="4AE93159"/>
    <w:rsid w:val="4DAB6FFF"/>
    <w:rsid w:val="4DE87EBF"/>
    <w:rsid w:val="4E27683A"/>
    <w:rsid w:val="4E372DC6"/>
    <w:rsid w:val="50CF0B71"/>
    <w:rsid w:val="50F45E76"/>
    <w:rsid w:val="50FB3B9B"/>
    <w:rsid w:val="51867298"/>
    <w:rsid w:val="519044E6"/>
    <w:rsid w:val="51997644"/>
    <w:rsid w:val="51D42C95"/>
    <w:rsid w:val="525C069F"/>
    <w:rsid w:val="52F14FE6"/>
    <w:rsid w:val="53DB3477"/>
    <w:rsid w:val="545D4D49"/>
    <w:rsid w:val="546B2714"/>
    <w:rsid w:val="548F7CB8"/>
    <w:rsid w:val="564E7B66"/>
    <w:rsid w:val="574C0B2A"/>
    <w:rsid w:val="58500F22"/>
    <w:rsid w:val="58560504"/>
    <w:rsid w:val="587806F6"/>
    <w:rsid w:val="595C3A36"/>
    <w:rsid w:val="5AD0686D"/>
    <w:rsid w:val="5AE94460"/>
    <w:rsid w:val="5AED6098"/>
    <w:rsid w:val="5B555057"/>
    <w:rsid w:val="5BE03E3E"/>
    <w:rsid w:val="5DB87A1B"/>
    <w:rsid w:val="5DE50584"/>
    <w:rsid w:val="5DFD51DB"/>
    <w:rsid w:val="5E2216CA"/>
    <w:rsid w:val="5EA20EBB"/>
    <w:rsid w:val="5EAE0DBC"/>
    <w:rsid w:val="5F280CDE"/>
    <w:rsid w:val="607C3753"/>
    <w:rsid w:val="60940A61"/>
    <w:rsid w:val="60C30855"/>
    <w:rsid w:val="60E231FB"/>
    <w:rsid w:val="61207BB8"/>
    <w:rsid w:val="61421EFD"/>
    <w:rsid w:val="61494DAC"/>
    <w:rsid w:val="615C5041"/>
    <w:rsid w:val="61820DB5"/>
    <w:rsid w:val="61DB7701"/>
    <w:rsid w:val="63A77DB1"/>
    <w:rsid w:val="64947904"/>
    <w:rsid w:val="652952CA"/>
    <w:rsid w:val="65BE6BDD"/>
    <w:rsid w:val="662F3601"/>
    <w:rsid w:val="664805B8"/>
    <w:rsid w:val="69DB2829"/>
    <w:rsid w:val="6A2A735F"/>
    <w:rsid w:val="6A5467B5"/>
    <w:rsid w:val="6B41049D"/>
    <w:rsid w:val="6C89456C"/>
    <w:rsid w:val="6D842E56"/>
    <w:rsid w:val="6DB4251C"/>
    <w:rsid w:val="6E0A2967"/>
    <w:rsid w:val="6EF142C8"/>
    <w:rsid w:val="6F5E3CA2"/>
    <w:rsid w:val="6FA629D4"/>
    <w:rsid w:val="6FB07284"/>
    <w:rsid w:val="70712BE2"/>
    <w:rsid w:val="71143C18"/>
    <w:rsid w:val="731014BE"/>
    <w:rsid w:val="731C0EDA"/>
    <w:rsid w:val="73814380"/>
    <w:rsid w:val="743F53F1"/>
    <w:rsid w:val="75E06643"/>
    <w:rsid w:val="76F9256C"/>
    <w:rsid w:val="77641322"/>
    <w:rsid w:val="79184AEB"/>
    <w:rsid w:val="79205D36"/>
    <w:rsid w:val="79B65F5A"/>
    <w:rsid w:val="79C821C7"/>
    <w:rsid w:val="7B123892"/>
    <w:rsid w:val="7BE11005"/>
    <w:rsid w:val="7C26369C"/>
    <w:rsid w:val="7D255DA5"/>
    <w:rsid w:val="7D62117D"/>
    <w:rsid w:val="7E2F5419"/>
    <w:rsid w:val="7E3E1EF2"/>
    <w:rsid w:val="7EEB4939"/>
    <w:rsid w:val="7EF74FC9"/>
    <w:rsid w:val="7F313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C33CC0-DEEF-467F-AB05-B1438F66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pPr>
      <w:spacing w:line="240" w:lineRule="auto"/>
      <w:jc w:val="both"/>
    </w:pPr>
    <w:rPr>
      <w:b/>
      <w:bCs/>
      <w:sz w:val="20"/>
    </w:rPr>
  </w:style>
  <w:style w:type="paragraph" w:styleId="a4">
    <w:name w:val="annotation text"/>
    <w:basedOn w:val="a"/>
    <w:link w:val="Char0"/>
    <w:uiPriority w:val="99"/>
    <w:semiHidden/>
    <w:unhideWhenUsed/>
    <w:qFormat/>
    <w:pPr>
      <w:jc w:val="left"/>
    </w:pPr>
  </w:style>
  <w:style w:type="paragraph" w:styleId="a5">
    <w:name w:val="caption"/>
    <w:basedOn w:val="a"/>
    <w:next w:val="a"/>
    <w:qFormat/>
    <w:rPr>
      <w:b/>
      <w:bCs/>
    </w:rPr>
  </w:style>
  <w:style w:type="paragraph" w:styleId="a6">
    <w:name w:val="Body Text"/>
    <w:basedOn w:val="a"/>
    <w:qFormat/>
    <w:rPr>
      <w:rFonts w:eastAsia="MS Mincho"/>
    </w:rPr>
  </w:style>
  <w:style w:type="paragraph" w:styleId="a7">
    <w:name w:val="Balloon Text"/>
    <w:basedOn w:val="a"/>
    <w:link w:val="Char1"/>
    <w:uiPriority w:val="99"/>
    <w:semiHidden/>
    <w:unhideWhenUsed/>
    <w:qFormat/>
    <w:pPr>
      <w:spacing w:after="0" w:line="240" w:lineRule="auto"/>
    </w:pPr>
    <w:rPr>
      <w:rFonts w:ascii="Microsoft YaHei UI" w:eastAsia="Microsoft YaHei UI"/>
      <w:sz w:val="18"/>
      <w:szCs w:val="18"/>
    </w:rPr>
  </w:style>
  <w:style w:type="paragraph" w:styleId="a8">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20">
    <w:name w:val="toc 2"/>
    <w:basedOn w:val="a"/>
    <w:next w:val="a"/>
    <w:uiPriority w:val="99"/>
    <w:semiHidden/>
    <w:unhideWhenUsed/>
    <w:qFormat/>
    <w:pPr>
      <w:ind w:leftChars="200" w:left="420"/>
    </w:pPr>
    <w:rPr>
      <w:b/>
      <w:i/>
      <w:sz w:val="20"/>
    </w:rPr>
  </w:style>
  <w:style w:type="character" w:styleId="a9">
    <w:name w:val="Emphasis"/>
    <w:basedOn w:val="a0"/>
    <w:uiPriority w:val="99"/>
    <w:semiHidden/>
    <w:unhideWhenUsed/>
    <w:qFormat/>
    <w:rPr>
      <w:i/>
    </w:rPr>
  </w:style>
  <w:style w:type="character" w:styleId="aa">
    <w:name w:val="Hyperlink"/>
    <w:uiPriority w:val="99"/>
    <w:qFormat/>
    <w:rPr>
      <w:color w:val="0000FF"/>
      <w:u w:val="single"/>
    </w:rPr>
  </w:style>
  <w:style w:type="character" w:styleId="ab">
    <w:name w:val="annotation reference"/>
    <w:basedOn w:val="a0"/>
    <w:uiPriority w:val="99"/>
    <w:semiHidden/>
    <w:unhideWhenUsed/>
    <w:rPr>
      <w:sz w:val="16"/>
      <w:szCs w:val="16"/>
    </w:rPr>
  </w:style>
  <w:style w:type="table" w:styleId="ac">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References">
    <w:name w:val="References"/>
    <w:basedOn w:val="a"/>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ad">
    <w:name w:val="List Paragraph"/>
    <w:basedOn w:val="a"/>
    <w:uiPriority w:val="34"/>
    <w:qFormat/>
    <w:pPr>
      <w:spacing w:after="0" w:line="240" w:lineRule="auto"/>
      <w:ind w:left="720"/>
      <w:contextualSpacing/>
    </w:pPr>
    <w:rPr>
      <w:rFonts w:eastAsia="Times New Roman"/>
      <w:sz w:val="24"/>
      <w:szCs w:val="24"/>
    </w:rPr>
  </w:style>
  <w:style w:type="paragraph" w:customStyle="1" w:styleId="LGTdoc">
    <w:name w:val="LGTdoc_본문"/>
    <w:basedOn w:val="a"/>
    <w:qFormat/>
    <w:pPr>
      <w:widowControl w:val="0"/>
      <w:autoSpaceDE w:val="0"/>
      <w:autoSpaceDN w:val="0"/>
      <w:adjustRightInd w:val="0"/>
      <w:snapToGrid w:val="0"/>
      <w:spacing w:afterLines="50" w:line="264" w:lineRule="auto"/>
    </w:pPr>
    <w:rPr>
      <w:sz w:val="22"/>
      <w:lang w:eastAsia="ko-KR"/>
    </w:rPr>
  </w:style>
  <w:style w:type="character" w:customStyle="1" w:styleId="Char0">
    <w:name w:val="批注文字 Char"/>
    <w:basedOn w:val="a0"/>
    <w:link w:val="a4"/>
    <w:uiPriority w:val="99"/>
    <w:semiHidden/>
    <w:rPr>
      <w:rFonts w:eastAsia="宋体"/>
      <w:kern w:val="2"/>
      <w:sz w:val="21"/>
    </w:rPr>
  </w:style>
  <w:style w:type="character" w:customStyle="1" w:styleId="Char">
    <w:name w:val="批注主题 Char"/>
    <w:basedOn w:val="Char0"/>
    <w:link w:val="a3"/>
    <w:uiPriority w:val="99"/>
    <w:semiHidden/>
    <w:qFormat/>
    <w:rPr>
      <w:rFonts w:eastAsia="宋体"/>
      <w:b/>
      <w:bCs/>
      <w:kern w:val="2"/>
      <w:sz w:val="21"/>
    </w:rPr>
  </w:style>
  <w:style w:type="character" w:customStyle="1" w:styleId="Char1">
    <w:name w:val="批注框文本 Char"/>
    <w:basedOn w:val="a0"/>
    <w:link w:val="a7"/>
    <w:uiPriority w:val="99"/>
    <w:semiHidden/>
    <w:qFormat/>
    <w:rPr>
      <w:rFonts w:ascii="Microsoft YaHei UI" w:eastAsia="Microsoft YaHei UI"/>
      <w:kern w:val="2"/>
      <w:sz w:val="18"/>
      <w:szCs w:val="18"/>
    </w:rPr>
  </w:style>
  <w:style w:type="paragraph" w:customStyle="1" w:styleId="sub-observation">
    <w:name w:val="sub-observation"/>
    <w:basedOn w:val="sub-proposal"/>
    <w:next w:val="a"/>
  </w:style>
  <w:style w:type="paragraph" w:customStyle="1" w:styleId="sub-proposal">
    <w:name w:val="sub-proposal"/>
    <w:basedOn w:val="YJ-Proposal"/>
    <w:next w:val="a"/>
    <w:qForma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7</cp:revision>
  <dcterms:created xsi:type="dcterms:W3CDTF">2019-04-08T03:09:00Z</dcterms:created>
  <dcterms:modified xsi:type="dcterms:W3CDTF">2019-05-02T21:37:00Z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